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HSFA-625-2026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TANIA  LISETH PINO CORREO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1.000.635.335</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DOS (2)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TANIA  LISETH PINO CORREO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1.000.635.335</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TRABAJADOR SOCIAL</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PROFESIONALES COMO TRABAJADOR (A) SOCIAL PARA LA ATENCIÓN Y FORTALECIMIENTO DEL NIVEL PRIMARIO EN EL MUNICIPIO, DEPARATAMENTO DEL CHOCÓ EN EL MARCO DE LA RESOLUCIÓN 1498 DEL 21 JULIO DE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 – JOVENES EN PAZ -”.</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DOS (2)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w:t>
      </w:r>
      <w:r>
        <w:rPr>
          <w:rFonts w:ascii="Century Gothic" w:hAnsi="Century Gothic" w:eastAsia="Century Gothic" w:cs="Century Gothic"/>
          <w:sz w:val="24"/>
          <w:szCs w:val="24"/>
          <w:b w:val="1"/>
          <w:bCs w:val="1"/>
        </w:rPr>
        <w:t xml:space="preserve">.</w:t>
      </w:r>
      <w:r>
        <w:rPr>
          <w:rFonts w:ascii="Century Gothic" w:hAnsi="Century Gothic" w:eastAsia="Century Gothic" w:cs="Century Gothic"/>
          <w:sz w:val="24"/>
          <w:szCs w:val="24"/>
        </w:rPr>
        <w:t xml:space="preserve"> Realizar valoración psicosocial individual yfamiliar a los jóvenes vinculados al componente “Jóvenes en Paz”, identificandofactores de riesgo, protección, redes de apoyo y determinantes sociales. </w:t>
      </w:r>
      <w:r>
        <w:rPr>
          <w:rFonts w:ascii="Century Gothic" w:hAnsi="Century Gothic" w:eastAsia="Century Gothic" w:cs="Century Gothic"/>
          <w:sz w:val="24"/>
          <w:szCs w:val="24"/>
          <w:b w:val="1"/>
          <w:bCs w:val="1"/>
        </w:rPr>
        <w:t xml:space="preserve">2. </w:t>
      </w:r>
      <w:r>
        <w:rPr>
          <w:rFonts w:ascii="Century Gothic" w:hAnsi="Century Gothic" w:eastAsia="Century Gothic" w:cs="Century Gothic"/>
          <w:sz w:val="24"/>
          <w:szCs w:val="24"/>
        </w:rPr>
        <w:t xml:space="preserve">Diseñar e implementar planes deintervención psicosocial comunitarios, orientados al fortalecimiento delproyecto de vida, la salud mental, la resolución de conflictos y la inclusiónsocial. </w:t>
      </w:r>
      <w:r>
        <w:rPr>
          <w:rFonts w:ascii="Century Gothic" w:hAnsi="Century Gothic" w:eastAsia="Century Gothic" w:cs="Century Gothic"/>
          <w:sz w:val="24"/>
          <w:szCs w:val="24"/>
          <w:b w:val="1"/>
          <w:bCs w:val="1"/>
        </w:rPr>
        <w:t xml:space="preserve">3.</w:t>
      </w:r>
      <w:r>
        <w:rPr>
          <w:rFonts w:ascii="Century Gothic" w:hAnsi="Century Gothic" w:eastAsia="Century Gothic" w:cs="Century Gothic"/>
          <w:sz w:val="24"/>
          <w:szCs w:val="24"/>
        </w:rPr>
        <w:t xml:space="preserve"> Participar activamente enlas actividades extramurales del EBS, incluyendo visitas domiciliarias,encuentros comunitarios, talleres y actividades intersectoriales en elterritorio asignado. </w:t>
      </w:r>
      <w:r>
        <w:rPr>
          <w:rFonts w:ascii="Century Gothic" w:hAnsi="Century Gothic" w:eastAsia="Century Gothic" w:cs="Century Gothic"/>
          <w:sz w:val="24"/>
          <w:szCs w:val="24"/>
          <w:b w:val="1"/>
          <w:bCs w:val="1"/>
        </w:rPr>
        <w:t xml:space="preserve">4.</w:t>
      </w:r>
      <w:r>
        <w:rPr>
          <w:rFonts w:ascii="Century Gothic" w:hAnsi="Century Gothic" w:eastAsia="Century Gothic" w:cs="Century Gothic"/>
          <w:sz w:val="24"/>
          <w:szCs w:val="24"/>
        </w:rPr>
        <w:t xml:space="preserve"> Articularacciones con las entidades del Sistema General de Seguridad Social en Salud(SGSSS) y con los sectores de educación, justicia, cultura y empleo, parapromover la oferta institucional a favor de los jóvenes intervenidos. </w:t>
      </w:r>
      <w:r>
        <w:rPr>
          <w:rFonts w:ascii="Century Gothic" w:hAnsi="Century Gothic" w:eastAsia="Century Gothic" w:cs="Century Gothic"/>
          <w:sz w:val="24"/>
          <w:szCs w:val="24"/>
          <w:b w:val="1"/>
          <w:bCs w:val="1"/>
        </w:rPr>
        <w:t xml:space="preserve">5</w:t>
      </w:r>
      <w:r>
        <w:rPr>
          <w:rFonts w:ascii="Century Gothic" w:hAnsi="Century Gothic" w:eastAsia="Century Gothic" w:cs="Century Gothic"/>
          <w:sz w:val="24"/>
          <w:szCs w:val="24"/>
        </w:rPr>
        <w:t xml:space="preserve">. Acompañar los procesos de activaciónde rutas de atención interinstitucionales, en casos de violencia, consumo desustancias psicoactivas, salud mental, barreras de acceso o vulneración dederechos. </w:t>
      </w:r>
      <w:r>
        <w:rPr>
          <w:rFonts w:ascii="Century Gothic" w:hAnsi="Century Gothic" w:eastAsia="Century Gothic" w:cs="Century Gothic"/>
          <w:sz w:val="24"/>
          <w:szCs w:val="24"/>
          <w:b w:val="1"/>
          <w:bCs w:val="1"/>
        </w:rPr>
        <w:t xml:space="preserve">6</w:t>
      </w:r>
      <w:r>
        <w:rPr>
          <w:rFonts w:ascii="Century Gothic" w:hAnsi="Century Gothic" w:eastAsia="Century Gothic" w:cs="Century Gothic"/>
          <w:sz w:val="24"/>
          <w:szCs w:val="24"/>
        </w:rPr>
        <w:t xml:space="preserve">. Realizar seguimiento alos casos asignados, garantizando el cumplimiento del plan de intervención yactualizando los registros clínicos y sociales conforme a los lineamientos delModelo de Acción Unificada Territorial (MAUT).</w:t>
      </w:r>
      <w:r>
        <w:rPr>
          <w:rFonts w:ascii="Century Gothic" w:hAnsi="Century Gothic" w:eastAsia="Century Gothic" w:cs="Century Gothic"/>
          <w:sz w:val="24"/>
          <w:szCs w:val="24"/>
          <w:b w:val="1"/>
          <w:bCs w:val="1"/>
        </w:rPr>
        <w:t xml:space="preserve">7</w:t>
      </w:r>
      <w:r>
        <w:rPr>
          <w:rFonts w:ascii="Century Gothic" w:hAnsi="Century Gothic" w:eastAsia="Century Gothic" w:cs="Century Gothic"/>
          <w:sz w:val="24"/>
          <w:szCs w:val="24"/>
        </w:rPr>
        <w:t xml:space="preserve"> Elaborar informes técnicos, diagnósticos sociales y reportesmensuales de avance, conforme a los formatos establecidos por el operador oentidad contratante, incluyendo indicadores de gestión.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Participar en los espacios de planeación, análisis de situaciónen salud (ASIS), comités territoriales y capacitaciones, aportando desde elenfoque social a la gestión territorial en salud. </w:t>
      </w:r>
      <w:r>
        <w:rPr>
          <w:rFonts w:ascii="Century Gothic" w:hAnsi="Century Gothic" w:eastAsia="Century Gothic" w:cs="Century Gothic"/>
          <w:sz w:val="24"/>
          <w:szCs w:val="24"/>
          <w:b w:val="1"/>
          <w:bCs w:val="1"/>
        </w:rPr>
        <w:t xml:space="preserve">9</w:t>
      </w:r>
      <w:r>
        <w:rPr>
          <w:rFonts w:ascii="Century Gothic" w:hAnsi="Century Gothic" w:eastAsia="Century Gothic" w:cs="Century Gothic"/>
          <w:sz w:val="24"/>
          <w:szCs w:val="24"/>
        </w:rPr>
        <w:t xml:space="preserve">Garantizar el cumplimiento del enfoque diferencial, de género,interseccional y territorial en todas las intervenciones, reconociendo lasparticularidades culturales y sociales de la población objetivo. </w:t>
      </w:r>
      <w:r>
        <w:rPr>
          <w:rFonts w:ascii="Century Gothic" w:hAnsi="Century Gothic" w:eastAsia="Century Gothic" w:cs="Century Gothic"/>
          <w:sz w:val="24"/>
          <w:szCs w:val="24"/>
          <w:b w:val="1"/>
          <w:bCs w:val="1"/>
        </w:rPr>
        <w:t xml:space="preserve">10</w:t>
      </w:r>
      <w:r>
        <w:rPr>
          <w:rFonts w:ascii="Century Gothic" w:hAnsi="Century Gothic" w:eastAsia="Century Gothic" w:cs="Century Gothic"/>
          <w:sz w:val="24"/>
          <w:szCs w:val="24"/>
        </w:rPr>
        <w:t xml:space="preserve">. Velar por la confidencialidad yética profesional en el manejo de la información personal y familiar de losjóvenes, conforme a la normatividad vigente en salud y protección de datos. </w:t>
      </w:r>
      <w:r>
        <w:rPr>
          <w:rFonts w:ascii="Century Gothic" w:hAnsi="Century Gothic" w:eastAsia="Century Gothic" w:cs="Century Gothic"/>
          <w:sz w:val="24"/>
          <w:szCs w:val="24"/>
          <w:b w:val="1"/>
          <w:bCs w:val="1"/>
        </w:rPr>
        <w:t xml:space="preserve">PARAGRAFO 1:</w:t>
      </w:r>
      <w:r>
        <w:rPr>
          <w:rFonts w:ascii="Century Gothic" w:hAnsi="Century Gothic" w:eastAsia="Century Gothic" w:cs="Century Gothic"/>
          <w:sz w:val="24"/>
          <w:szCs w:val="24"/>
          <w:b w:val="1"/>
          <w:bCs w:val="1"/>
        </w:rPr>
        <w:t xml:space="preserve"> </w:t>
      </w:r>
      <w:r>
        <w:rPr>
          <w:rFonts w:ascii="Century Gothic" w:hAnsi="Century Gothic" w:eastAsia="Century Gothic" w:cs="Century Gothic"/>
          <w:sz w:val="24"/>
          <w:szCs w:val="24"/>
        </w:rPr>
        <w:t xml:space="preserve">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asignado a losEquipos Básicos de Salud se obliga a presentar mensualmente el Acta dePermanencia debidamente firmada por la Secretaría de Salud del Municipio alcual fue designado, por el Coordinador de Zona o Coordinador de los EquiposBásicos de Salud, y/o, en los casos en que el servicio se preste en territorioscon presencia de Consejos Comunitarios, por el Representante de la Junta delrespectivo Consejo Comunitario del municipio o su delegado, en la cual constela permanencia y prestación efectiva del servicio durante el periodo facturado.La mencionada acta se deberá radicar junto con su respectiva cuenta de cobro odocumento equivalente, dentro de los plazos establecidos para la presentaciónde cuentas. La E.S.E. no efectuará el pago de honorarios, contraprestaciones oreconocimiento económico alguno mientras no sea aportada el Acta de Permanenciadebidamente suscrita, constituyéndose dicho documento en requisito deexigibilidad y verificación contractual. El incumplimiento reiterado de estaobligación podrá ser considerado como causal de incumplimiento contractual, sinperjuicio de las demás acciones que la E.S.E. estime procedentes conforme a lanormatividad vigente. </w:t>
      </w:r>
      <w:r>
        <w:rPr>
          <w:rFonts w:ascii="Century Gothic" w:hAnsi="Century Gothic" w:eastAsia="Century Gothic" w:cs="Century Gothic"/>
          <w:sz w:val="24"/>
          <w:szCs w:val="24"/>
          <w:b w:val="1"/>
          <w:bCs w:val="1"/>
        </w:rPr>
        <w:t xml:space="preserve">PARAGRAFO 2:</w:t>
      </w:r>
      <w:r>
        <w:rPr>
          <w:rFonts w:ascii="Century Gothic" w:hAnsi="Century Gothic" w:eastAsia="Century Gothic" w:cs="Century Gothic"/>
          <w:sz w:val="24"/>
          <w:szCs w:val="24"/>
        </w:rPr>
        <w:t xml:space="preserve"> El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se obliga a restituir en buen estado deconservación todos los elementos, implementos, prendas o equipos que le seansuministrados por la E.S.E. para la correcta ejecución del contrato, tales comochalecos, gorras, mascarillas, carnés y elementos biomédicos. La devolución dedichos elementos deberá efectuarse al finalizar la ejecución del contrato ocuando la entidad lo requiera, dejando constancia mediante acta de entregasuscrita por el contratista y el supervisor. El cumplimiento de esta obligaciónconstituye requisito previo para la autorización y pago de los honorarioscorrespondientes al último mes de ejecución contractual. </w:t>
      </w:r>
      <w:r>
        <w:rPr>
          <w:rFonts w:ascii="Century Gothic" w:hAnsi="Century Gothic" w:eastAsia="Century Gothic" w:cs="Century Gothic"/>
          <w:sz w:val="24"/>
          <w:szCs w:val="24"/>
        </w:rPr>
        <w:t xml:space="preserve">En caso de pérdida o daño atribuible al </w:t>
      </w:r>
      <w:r>
        <w:rPr>
          <w:rFonts w:ascii="Century Gothic" w:hAnsi="Century Gothic" w:eastAsia="Century Gothic" w:cs="Century Gothic"/>
          <w:sz w:val="24"/>
          <w:szCs w:val="24"/>
          <w:b w:val="1"/>
          <w:bCs w:val="1"/>
        </w:rPr>
        <w:t xml:space="preserve">CONTRATISTA</w:t>
      </w:r>
      <w:r>
        <w:rPr>
          <w:rFonts w:ascii="Century Gothic" w:hAnsi="Century Gothic" w:eastAsia="Century Gothic" w:cs="Century Gothic"/>
          <w:sz w:val="24"/>
          <w:szCs w:val="24"/>
        </w:rPr>
        <w:t xml:space="preserve">, este deberá </w:t>
      </w:r>
      <w:r>
        <w:rPr>
          <w:rFonts w:ascii="Century Gothic" w:hAnsi="Century Gothic" w:eastAsia="Century Gothic" w:cs="Century Gothic"/>
          <w:sz w:val="24"/>
          <w:szCs w:val="24"/>
          <w:b w:val="1"/>
          <w:bCs w:val="1"/>
        </w:rPr>
        <w:t xml:space="preserve">asumir su reposición o reparación</w:t>
      </w:r>
      <w:r>
        <w:rPr>
          <w:rFonts w:ascii="Century Gothic" w:hAnsi="Century Gothic" w:eastAsia="Century Gothic" w:cs="Century Gothic"/>
          <w:sz w:val="24"/>
          <w:szCs w:val="24"/>
          <w:b w:val="1"/>
          <w:bCs w:val="1"/>
        </w:rPr>
        <w:t xml:space="preserve">.</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249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TANIA  LISETH PINO CORREO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1.000.635.335</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NINFA TATIANA MOSQUERA P.</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GLADYS LEMOS LOZANO</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LEINER YAMIL PALACIOS MOSQUERA</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