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HSFA-653-2026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ALEXANDRA  ROMAÑA ASPRILLA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1.040.761.008</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PAR COMUNITARIO JOVEN PARA LA ATENCIÓN Y FORTALECIMIENTO DEL NIVEL PRIMARIO EN EL MUNICIPIO DE BOJAYÁ DEL DEPARTAMENTO DEL CHOCÓ, A CARGO DE LA NUEVA E.S.E. HOSPITAL DEPARTAMENTAL SAN FRANCISCO DE ASÍS EN EL MARCO DE LA RESOLUCIÓN NO.  00001489 DEL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JOVENES EN PAZ”.</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DOS (2)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ALEXANDRA  ROMAÑA ASPRILLA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1.040.761.008</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PAR COMUNITARIO JOVEN</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PAR COMUNITARIO JOVEN PARA LA ATENCIÓN Y FORTALECIMIENTO DEL NIVEL PRIMARIO EN EL MUNICIPIO DE BOJAYÁ DEL DEPARTAMENTO DEL CHOCÓ, A CARGO DE LA NUEVA E.S.E. HOSPITAL DEPARTAMENTAL SAN FRANCISCO DE ASÍS EN EL MARCO DE LA RESOLUCIÓN NO.  00001489 DEL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JOVENES EN PAZ”.</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DOS (2)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Participar en labúsqueda activa y caracterización territorial de jóvenes en situación de riesgo,identificando comunidades vulnerables.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.Colaborar con la inscripción y seguimiento de jóvenes beneficiarios, incluyendoaspectos psicoemocionales, socioeconómicos y familiares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Integrarse con organizaciones comunitarias locales paradesarrollar labores sociales orientadas a la promoción de paz y convivencia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Promover y facilitar intervencionescomunitarias en salud preventiva, emocional y de promoción de estilos de vidasaludables entre jóvenes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.Diseñar yejecutar actividades de corresponsabilidad comunitaria, incluyendo programasculturales, deportivos, ambientales, digitales y de convivencia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Coordinar acciones de integracióncomunitaria e intergeneracional, mediante espacios de diálogo y escucha paraconstrucción de paz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.Vincular ajóvenes a proyectos territoriales de medio ambiente, arte, cultura y deporte,fomentando inclusión social y oportunidades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el componente digital y tecnológico, facilitando elacceso a comunidades digitales y proyectos de innovación regional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Acompañar el componente de salidadel programa, vinculando jóvenes a ofertas institucionales de educación,empleo, emprendimiento o asociatividad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.Realizar seguimiento integral post</w:t>
      </w:r>
      <w:r>
        <w:rPr>
          <w:rFonts w:ascii="Century Gothic" w:hAnsi="Century Gothic" w:eastAsia="Century Gothic" w:cs="Century Gothic"/>
          <w:sz w:val="24"/>
          <w:szCs w:val="24"/>
        </w:rPr>
        <w:t xml:space="preserve">‑</w:t>
      </w:r>
      <w:r>
        <w:rPr>
          <w:rFonts w:ascii="Century Gothic" w:hAnsi="Century Gothic" w:eastAsia="Century Gothic" w:cs="Century Gothic"/>
          <w:sz w:val="24"/>
          <w:szCs w:val="24"/>
        </w:rPr>
        <w:t xml:space="preserve">programa, con evaluaci</w:t>
      </w:r>
      <w:r>
        <w:rPr>
          <w:rFonts w:ascii="Century Gothic" w:hAnsi="Century Gothic" w:eastAsia="Century Gothic" w:cs="Century Gothic"/>
          <w:sz w:val="24"/>
          <w:szCs w:val="24"/>
        </w:rPr>
        <w:t xml:space="preserve">ó</w:t>
      </w:r>
      <w:r>
        <w:rPr>
          <w:rFonts w:ascii="Century Gothic" w:hAnsi="Century Gothic" w:eastAsia="Century Gothic" w:cs="Century Gothic"/>
          <w:sz w:val="24"/>
          <w:szCs w:val="24"/>
        </w:rPr>
        <w:t xml:space="preserve">n de impacto socialutilizando instrumentos territoriales y comunitarios. </w:t>
      </w:r>
      <w:r>
        <w:rPr>
          <w:rFonts w:ascii="Century Gothic" w:hAnsi="Century Gothic" w:eastAsia="Century Gothic" w:cs="Century Gothic"/>
          <w:sz w:val="24"/>
          <w:szCs w:val="24"/>
          <w:b w:val="1"/>
          <w:bCs w:val="1"/>
        </w:rPr>
        <w:t xml:space="preserve">PARAGRAFO1:</w:t>
      </w:r>
      <w:r>
        <w:rPr>
          <w:rFonts w:ascii="Century Gothic" w:hAnsi="Century Gothic" w:eastAsia="Century Gothic" w:cs="Century Gothic"/>
          <w:sz w:val="24"/>
          <w:szCs w:val="24"/>
          <w:b w:val="1"/>
          <w:bCs w:val="1"/>
        </w:rPr>
        <w:t xml:space="preserve"> </w:t>
      </w:r>
      <w:r>
        <w:rPr>
          <w:rFonts w:ascii="Century Gothic" w:hAnsi="Century Gothic" w:eastAsia="Century Gothic" w:cs="Century Gothic"/>
          <w:sz w:val="24"/>
          <w:szCs w:val="24"/>
        </w:rPr>
        <w:t xml:space="preserve">El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asignado a los Equipos Básicos de Salud se obliga a presentar mensualmente elActa de Permanencia debidamente firmada por la Secretaría de Salud delMunicipio al cual fue designado, por el Coordinador de Zona o Coordinador delos Equipos Básicos de Salud, y/o, en los casos en que el servicio se preste enterritorios con presencia de Consejos Comunitarios, por el Representante de laJunta del respectivo Consejo Comunitario del municipio o su delegado, en lacual conste la permanencia y prestación efectiva del servicio durante elperiodo facturado. La mencionada acta se deberá radicar junto con su respectivacuenta de cobro o documento equivalente, dentro de los plazos establecidos parala presentación de cuentas. La E.S.E. no efectuará el pago de honorarios,contraprestaciones o reconocimiento económico alguno mientras no sea aportadael Acta de Permanencia debidamente suscrita, constituyéndose dicho documento enrequisito de exigibilidad y verificación contractual. El incumplimientoreiterado de esta obligación podrá ser considerado como causal deincumplimiento contractual, sin perjuicio de las demás acciones que la E.S.E.estime procedentes conforme a la normatividad vigente. </w:t>
      </w:r>
      <w:r>
        <w:rPr>
          <w:rFonts w:ascii="Century Gothic" w:hAnsi="Century Gothic" w:eastAsia="Century Gothic" w:cs="Century Gothic"/>
          <w:sz w:val="24"/>
          <w:szCs w:val="24"/>
          <w:b w:val="1"/>
          <w:bCs w:val="1"/>
        </w:rPr>
        <w:t xml:space="preserve">PARAGRAFO2:</w:t>
      </w:r>
      <w:r>
        <w:rPr>
          <w:rFonts w:ascii="Century Gothic" w:hAnsi="Century Gothic" w:eastAsia="Century Gothic" w:cs="Century Gothic"/>
          <w:sz w:val="24"/>
          <w:szCs w:val="24"/>
        </w:rPr>
        <w:t xml:space="preserve">El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se obliga a restituiren buen estado de conservación todos los elementos, implementos, prendas oequipos que le sean suministrados por la E.S.E. para la correcta ejecución delcontrato, tales como chalecos, gorras, mascarillas, carnés y elementos biomédicos.La devolución de dichos elementos deberá efectuarse al finalizar la ejecucióndel contrato o cuando la entidad lo requiera, dejando constancia mediante actade entrega suscrita por el contratista y el supervisor. El cumplimiento de estaobligación constituye requisito previo para la autorización y pago de loshonorarios correspondientes al último mes de ejecución contractual. </w:t>
      </w:r>
      <w:r>
        <w:rPr>
          <w:rFonts w:ascii="Century Gothic" w:hAnsi="Century Gothic" w:eastAsia="Century Gothic" w:cs="Century Gothic"/>
          <w:sz w:val="24"/>
          <w:szCs w:val="24"/>
        </w:rPr>
        <w:t xml:space="preserve">En caso de pérdida o daño atribuible al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este deberá </w:t>
      </w:r>
      <w:r>
        <w:rPr>
          <w:rFonts w:ascii="Century Gothic" w:hAnsi="Century Gothic" w:eastAsia="Century Gothic" w:cs="Century Gothic"/>
          <w:sz w:val="24"/>
          <w:szCs w:val="24"/>
          <w:b w:val="1"/>
          <w:bCs w:val="1"/>
        </w:rPr>
        <w:t xml:space="preserve">asumir su reposición o reparación</w:t>
      </w:r>
      <w:r>
        <w:rPr>
          <w:rFonts w:ascii="Century Gothic" w:hAnsi="Century Gothic" w:eastAsia="Century Gothic" w:cs="Century Gothic"/>
          <w:sz w:val="24"/>
          <w:szCs w:val="24"/>
          <w:b w:val="1"/>
          <w:bCs w:val="1"/>
        </w:rPr>
        <w:t xml:space="preserve">.</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310 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ALEXANDRA  ROMAÑA ASPRILLA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1.040.761.008</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