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HSFA-662-2026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MARY MARCELA RIVAS TORRES</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1.077.460.538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TRABAJADOR (A) SOCIAL PARA LA ATENCIÓN Y FORTALECIMIENTO DEL NIVEL PRIMARIO EN EL MUNICIPIO, DEPARATAMENTO DEL CHOCÓ EN EL MARCO DE LA RESOLUCIÓN 1498 DEL 21 JULIO DE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 JOVENES EN PAZ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MARY MARCELA RIVAS TORRES</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1.077.460.538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TRABAJADOR SOCIAL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TRABAJADOR (A) SOCIAL PARA LA ATENCIÓN Y FORTALECIMIENTO DEL NIVEL PRIMARIO EN EL MUNICIPIO, DEPARATAMENTO DEL CHOCÓ EN EL MARCO DE LA RESOLUCIÓN 1498 DEL 21 JULIO DE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 JOVENES EN PAZ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b w:val="1"/>
          <w:bCs w:val="1"/>
        </w:rPr>
        <w:t xml:space="preserve">.</w:t>
      </w:r>
      <w:r>
        <w:rPr>
          <w:rFonts w:ascii="Century Gothic" w:hAnsi="Century Gothic" w:eastAsia="Century Gothic" w:cs="Century Gothic"/>
          <w:sz w:val="24"/>
          <w:szCs w:val="24"/>
        </w:rPr>
        <w:t xml:space="preserve"> Realizar valoración psicosocial individual yfamiliar a los jóvenes vinculados al componente “Jóvenes en Paz”, identificandofactores de riesgo, protección, redes de apoyo y determinantes sociales.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Diseñar e implementar planes deintervención psicosocial comunitarios, orientados al fortalecimiento delproyecto de vida, la salud mental, la resolución de conflictos y la inclusiónsocial.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Participar activamente enlas actividades extramurales del EBS, incluyendo visitas domiciliarias,encuentros comunitarios, talleres y actividades intersectoriales en elterritorio asignado.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Articularacciones con las entidades del Sistema General de Seguridad Social en Salud(SGSSS) y con los sectores de educación, justicia, cultura y empleo, parapromover la oferta institucional a favor de los jóvenes intervenidos.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Acompañar los procesos de activaciónde rutas de atención interinstitucionales, en casos de violencia, consumo desustancias psicoactivas, salud mental, barreras de acceso o vulneración dederechos.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alos casos asignados, garantizando el cumplimiento del plan de intervención yactualizando los registros clínicos y sociales conforme a los lineamientos delModelo de Acción Unificada Territorial (MAUT).</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Elaborar informes técnicos, diagnósticos sociales y reportesmensuales de avance, conforme a los formatos establecidos por el operador oentidad contratante, incluyendo indicadores de gestión.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Participar en los espacios de planeación, análisis de situaciónen salud (ASIS), comités territoriales y capacitaciones, aportando desde elenfoque social a la gestión territorial en salud.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Garantizar el cumplimiento del enfoque diferencial, de género,interseccional y territorial en todas las intervenciones, reconociendo lasparticularidades culturales y sociales de la población objetivo.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Velar por la confidencialidad yética profesional en el manejo de la información personal y familiar de losjóvenes, conforme a la normatividad vigente en salud y protección de datos. </w:t>
      </w:r>
      <w:r>
        <w:rPr>
          <w:rFonts w:ascii="Century Gothic" w:hAnsi="Century Gothic" w:eastAsia="Century Gothic" w:cs="Century Gothic"/>
          <w:sz w:val="24"/>
          <w:szCs w:val="24"/>
          <w:b w:val="1"/>
          <w:bCs w:val="1"/>
        </w:rPr>
        <w:t xml:space="preserve">PARAGRAFO 1:</w:t>
      </w:r>
      <w:r>
        <w:rPr>
          <w:rFonts w:ascii="Century Gothic" w:hAnsi="Century Gothic" w:eastAsia="Century Gothic" w:cs="Century Gothic"/>
          <w:sz w:val="24"/>
          <w:szCs w:val="24"/>
          <w:b w:val="1"/>
          <w:bCs w:val="1"/>
        </w:rPr>
        <w:t xml:space="preserve"> </w:t>
      </w:r>
      <w:r>
        <w:rPr>
          <w:rFonts w:ascii="Century Gothic" w:hAnsi="Century Gothic" w:eastAsia="Century Gothic" w:cs="Century Gothic"/>
          <w:sz w:val="24"/>
          <w:szCs w:val="24"/>
        </w:rPr>
        <w:t xml:space="preserve">El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asignado a losEquipos Básicos de Salud se obliga a presentar mensualmente el Acta dePermanencia debidamente firmada por la Secretaría de Salud del Municipio alcual fue designado, por el Coordinador de Zona o Coordinador de los EquiposBásicos de Salud, y/o, en los casos en que el servicio se preste en territorioscon presencia de Consejos Comunitarios, por el Representante de la Junta delrespectivo Consejo Comunitario del municipio o su delegado, en la cual constela permanencia y prestación efectiva del servicio durante el periodo facturado.La mencionada acta se deberá radicar junto con su respectiva cuenta de cobro odocumento equivalente, dentro de los plazos establecidos para la presentaciónde cuentas. La E.S.E. no efectuará el pago de honorarios, contraprestaciones oreconocimiento económico alguno mientras no sea aportada el Acta de Permanenciadebidamente suscrita, constituyéndose dicho documento en requisito deexigibilidad y verificación contractual. El incumplimiento reiterado de estaobligación podrá ser considerado como causal de incumplimiento contractual, sinperjuicio de las demás acciones que la E.S.E. estime procedentes conforme a lanormatividad vigente. </w:t>
      </w:r>
      <w:r>
        <w:rPr>
          <w:rFonts w:ascii="Century Gothic" w:hAnsi="Century Gothic" w:eastAsia="Century Gothic" w:cs="Century Gothic"/>
          <w:sz w:val="24"/>
          <w:szCs w:val="24"/>
          <w:b w:val="1"/>
          <w:bCs w:val="1"/>
        </w:rPr>
        <w:t xml:space="preserve">PARAGRAFO 2:</w:t>
      </w:r>
      <w:r>
        <w:rPr>
          <w:rFonts w:ascii="Century Gothic" w:hAnsi="Century Gothic" w:eastAsia="Century Gothic" w:cs="Century Gothic"/>
          <w:sz w:val="24"/>
          <w:szCs w:val="24"/>
        </w:rPr>
        <w:t xml:space="preserve"> El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se obliga a restituir en buen estado deconservación todos los elementos, implementos, prendas o equipos que le seansuministrados por la E.S.E. para la correcta ejecución del contrato, tales comochalecos, gorras, mascarillas, carnés y elementos biomédicos. La devolución dedichos elementos deberá efectuarse al finalizar la ejecución del contrato ocuando la entidad lo requiera, dejando constancia mediante acta de entregasuscrita por el contratista y el supervisor. El cumplimiento de esta obligaciónconstituye requisito previo para la autorización y pago de los honorarioscorrespondientes al último mes de ejecución contractual. </w:t>
      </w:r>
      <w:r>
        <w:rPr>
          <w:rFonts w:ascii="Century Gothic" w:hAnsi="Century Gothic" w:eastAsia="Century Gothic" w:cs="Century Gothic"/>
          <w:sz w:val="24"/>
          <w:szCs w:val="24"/>
        </w:rPr>
        <w:t xml:space="preserve">En caso de pérdida o daño atribuible al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este deberá </w:t>
      </w:r>
      <w:r>
        <w:rPr>
          <w:rFonts w:ascii="Century Gothic" w:hAnsi="Century Gothic" w:eastAsia="Century Gothic" w:cs="Century Gothic"/>
          <w:sz w:val="24"/>
          <w:szCs w:val="24"/>
          <w:b w:val="1"/>
          <w:bCs w:val="1"/>
        </w:rPr>
        <w:t xml:space="preserve">asumir su reposición o reparación</w:t>
      </w:r>
      <w:r>
        <w:rPr>
          <w:rFonts w:ascii="Century Gothic" w:hAnsi="Century Gothic" w:eastAsia="Century Gothic" w:cs="Century Gothic"/>
          <w:sz w:val="24"/>
          <w:szCs w:val="24"/>
          <w:b w:val="1"/>
          <w:bCs w:val="1"/>
        </w:rPr>
        <w:t xml:space="preserve">.</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149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MARY MARCELA RIVAS TORRES</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1.077.460.538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