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CD-HSFA-694-2026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CLAUDIA PATRICIA PALACIO PALACIO</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1.001.712.189</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DE APOYO A LA GESTIÓN COMO AUXILIAR DE ENFERMERÍA PARA LA ATENCIÓN Y FORTALECIMIENTO DEL NIVEL PRIMARIO EN EL MUNICIPIO DE BELÉN DE BAJIRA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TRES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3.000.000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CLAUDIA PATRICIA PALACIO PALACIO</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1.001.712.189</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AUXILIAR DE ENFERMERÍA</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DE APOYO A LA GESTIÓN COMO AUXILIAR DE ENFERMERÍA PARA LA ATENCIÓN Y FORTALECIMIENTO DEL NIVEL PRIMARIO EN EL MUNICIPIO DE BELÉN DE BAJIRA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TRES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3.000.000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TRES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3.000.000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 </w:t>
      </w:r>
      <w:r>
        <w:rPr>
          <w:rFonts w:ascii="Century Gothic" w:hAnsi="Century Gothic" w:eastAsia="Century Gothic" w:cs="Century Gothic"/>
          <w:sz w:val="24"/>
          <w:szCs w:val="24"/>
        </w:rPr>
        <w:t xml:space="preserve">Desarrollar y fortalecer las habilidades y capacidades de los grupos </w:t>
      </w:r>
      <w:r>
        <w:rPr>
          <w:rFonts w:ascii="Century Gothic" w:hAnsi="Century Gothic" w:eastAsia="Century Gothic" w:cs="Century Gothic"/>
          <w:sz w:val="24"/>
          <w:szCs w:val="24"/>
        </w:rPr>
        <w:t xml:space="preserve">familiares o no familiares para el cuidado de sí mismo, del otro y del medio </w:t>
      </w:r>
      <w:r>
        <w:rPr>
          <w:rFonts w:ascii="Century Gothic" w:hAnsi="Century Gothic" w:eastAsia="Century Gothic" w:cs="Century Gothic"/>
          <w:sz w:val="24"/>
          <w:szCs w:val="24"/>
        </w:rPr>
        <w:t xml:space="preserve">ambiente, la sana convivencia y la protección de cada uno de sus </w:t>
      </w:r>
      <w:r>
        <w:rPr>
          <w:rFonts w:ascii="Century Gothic" w:hAnsi="Century Gothic" w:eastAsia="Century Gothic" w:cs="Century Gothic"/>
          <w:sz w:val="24"/>
          <w:szCs w:val="24"/>
        </w:rPr>
        <w:t xml:space="preserve">integrantes, con énfasis en niños, niñas y adolescentes, mujeres gestantes y </w:t>
      </w:r>
      <w:r>
        <w:rPr>
          <w:rFonts w:ascii="Century Gothic" w:hAnsi="Century Gothic" w:eastAsia="Century Gothic" w:cs="Century Gothic"/>
          <w:sz w:val="24"/>
          <w:szCs w:val="24"/>
        </w:rPr>
        <w:t xml:space="preserve">lactantes, personas mayores.</w:t>
      </w:r>
      <w:r>
        <w:rPr>
          <w:rFonts w:ascii="Century Gothic" w:hAnsi="Century Gothic" w:eastAsia="Century Gothic" w:cs="Century Gothic"/>
          <w:sz w:val="24"/>
          <w:szCs w:val="24"/>
          <w:b w:val="1"/>
          <w:bCs w:val="1"/>
        </w:rPr>
        <w:t xml:space="preserve"> 2. </w:t>
      </w:r>
      <w:r>
        <w:rPr>
          <w:rFonts w:ascii="Century Gothic" w:hAnsi="Century Gothic" w:eastAsia="Century Gothic" w:cs="Century Gothic"/>
          <w:sz w:val="24"/>
          <w:szCs w:val="24"/>
        </w:rPr>
        <w:t xml:space="preserve">Promover las capacidades de las personas, </w:t>
      </w:r>
      <w:r>
        <w:rPr>
          <w:rFonts w:ascii="Century Gothic" w:hAnsi="Century Gothic" w:eastAsia="Century Gothic" w:cs="Century Gothic"/>
          <w:sz w:val="24"/>
          <w:szCs w:val="24"/>
        </w:rPr>
        <w:t xml:space="preserve">familias y comunidades para el ejercicio de la ciudadanía, actuando frente </w:t>
      </w:r>
      <w:r>
        <w:rPr>
          <w:rFonts w:ascii="Century Gothic" w:hAnsi="Century Gothic" w:eastAsia="Century Gothic" w:cs="Century Gothic"/>
          <w:sz w:val="24"/>
          <w:szCs w:val="24"/>
        </w:rPr>
        <w:t xml:space="preserve">al reconocimiento y la exigibilidad del derecho fundamental a la salud y la </w:t>
      </w:r>
      <w:r>
        <w:rPr>
          <w:rFonts w:ascii="Century Gothic" w:hAnsi="Century Gothic" w:eastAsia="Century Gothic" w:cs="Century Gothic"/>
          <w:sz w:val="24"/>
          <w:szCs w:val="24"/>
        </w:rPr>
        <w:t xml:space="preserve">participación en los espacios de decisión.</w:t>
      </w:r>
      <w:r>
        <w:rPr>
          <w:rFonts w:ascii="Century Gothic" w:hAnsi="Century Gothic" w:eastAsia="Century Gothic" w:cs="Century Gothic"/>
          <w:sz w:val="24"/>
          <w:szCs w:val="24"/>
          <w:b w:val="1"/>
          <w:bCs w:val="1"/>
        </w:rPr>
        <w:t xml:space="preserve"> 3. </w:t>
      </w:r>
      <w:r>
        <w:rPr>
          <w:rFonts w:ascii="Century Gothic" w:hAnsi="Century Gothic" w:eastAsia="Century Gothic" w:cs="Century Gothic"/>
          <w:sz w:val="24"/>
          <w:szCs w:val="24"/>
        </w:rPr>
        <w:t xml:space="preserve">Promover el mejoramiento de </w:t>
      </w:r>
      <w:r>
        <w:rPr>
          <w:rFonts w:ascii="Century Gothic" w:hAnsi="Century Gothic" w:eastAsia="Century Gothic" w:cs="Century Gothic"/>
          <w:sz w:val="24"/>
          <w:szCs w:val="24"/>
        </w:rPr>
        <w:t xml:space="preserve">los ambientes físicos de la vivienda y el entorno, controlar los riesgos </w:t>
      </w:r>
      <w:r>
        <w:rPr>
          <w:rFonts w:ascii="Century Gothic" w:hAnsi="Century Gothic" w:eastAsia="Century Gothic" w:cs="Century Gothic"/>
          <w:sz w:val="24"/>
          <w:szCs w:val="24"/>
        </w:rPr>
        <w:t xml:space="preserve">asociados a condiciones socioambientales desfavorables y promover los </w:t>
      </w:r>
      <w:r>
        <w:rPr>
          <w:rFonts w:ascii="Century Gothic" w:hAnsi="Century Gothic" w:eastAsia="Century Gothic" w:cs="Century Gothic"/>
          <w:sz w:val="24"/>
          <w:szCs w:val="24"/>
        </w:rPr>
        <w:t xml:space="preserve">factores protectores para la salud y la calidad de vida.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Identificar las </w:t>
      </w:r>
      <w:r>
        <w:rPr>
          <w:rFonts w:ascii="Century Gothic" w:hAnsi="Century Gothic" w:eastAsia="Century Gothic" w:cs="Century Gothic"/>
          <w:sz w:val="24"/>
          <w:szCs w:val="24"/>
        </w:rPr>
        <w:t xml:space="preserve">condiciones de salud las personas, familias y comunidades en los micro </w:t>
      </w:r>
      <w:r>
        <w:rPr>
          <w:rFonts w:ascii="Century Gothic" w:hAnsi="Century Gothic" w:eastAsia="Century Gothic" w:cs="Century Gothic"/>
          <w:sz w:val="24"/>
          <w:szCs w:val="24"/>
        </w:rPr>
        <w:t xml:space="preserve">territorios y gestionar la respuesta efectiva en salud a las diferentes </w:t>
      </w:r>
      <w:r>
        <w:rPr>
          <w:rFonts w:ascii="Century Gothic" w:hAnsi="Century Gothic" w:eastAsia="Century Gothic" w:cs="Century Gothic"/>
          <w:sz w:val="24"/>
          <w:szCs w:val="24"/>
        </w:rPr>
        <w:t xml:space="preserve">modalidades de atención (extramural, intramural en prestador primario o </w:t>
      </w:r>
      <w:r>
        <w:rPr>
          <w:rFonts w:ascii="Century Gothic" w:hAnsi="Century Gothic" w:eastAsia="Century Gothic" w:cs="Century Gothic"/>
          <w:sz w:val="24"/>
          <w:szCs w:val="24"/>
        </w:rPr>
        <w:t xml:space="preserve">complementario y telemedicina). </w:t>
      </w:r>
      <w:r>
        <w:rPr>
          <w:rFonts w:ascii="Century Gothic" w:hAnsi="Century Gothic" w:eastAsia="Century Gothic" w:cs="Century Gothic"/>
          <w:sz w:val="24"/>
          <w:szCs w:val="24"/>
          <w:b w:val="1"/>
          <w:bCs w:val="1"/>
        </w:rPr>
        <w:t xml:space="preserve">5. </w:t>
      </w:r>
      <w:r>
        <w:rPr>
          <w:rFonts w:ascii="Century Gothic" w:hAnsi="Century Gothic" w:eastAsia="Century Gothic" w:cs="Century Gothic"/>
          <w:sz w:val="24"/>
          <w:szCs w:val="24"/>
        </w:rPr>
        <w:t xml:space="preserve">Promover y facilitar respuestas integrales </w:t>
      </w:r>
      <w:r>
        <w:rPr>
          <w:rFonts w:ascii="Century Gothic" w:hAnsi="Century Gothic" w:eastAsia="Century Gothic" w:cs="Century Gothic"/>
          <w:sz w:val="24"/>
          <w:szCs w:val="24"/>
        </w:rPr>
        <w:t xml:space="preserve">a las necesidades de las personas, familias y comunidades, por medio de la </w:t>
      </w:r>
      <w:r>
        <w:rPr>
          <w:rFonts w:ascii="Century Gothic" w:hAnsi="Century Gothic" w:eastAsia="Century Gothic" w:cs="Century Gothic"/>
          <w:sz w:val="24"/>
          <w:szCs w:val="24"/>
        </w:rPr>
        <w:t xml:space="preserve">articulación de la oferta de los servicios sociales, conforme al contexto </w:t>
      </w:r>
      <w:r>
        <w:rPr>
          <w:rFonts w:ascii="Century Gothic" w:hAnsi="Century Gothic" w:eastAsia="Century Gothic" w:cs="Century Gothic"/>
          <w:sz w:val="24"/>
          <w:szCs w:val="24"/>
        </w:rPr>
        <w:t xml:space="preserve">poblacional y acorde con el curso de vida.</w:t>
      </w:r>
      <w:r>
        <w:rPr>
          <w:rFonts w:ascii="Century Gothic" w:hAnsi="Century Gothic" w:eastAsia="Century Gothic" w:cs="Century Gothic"/>
          <w:sz w:val="24"/>
          <w:szCs w:val="24"/>
          <w:b w:val="1"/>
          <w:bCs w:val="1"/>
        </w:rPr>
        <w:t xml:space="preserve"> 6.</w:t>
      </w:r>
      <w:r>
        <w:rPr>
          <w:rFonts w:ascii="Century Gothic" w:hAnsi="Century Gothic" w:eastAsia="Century Gothic" w:cs="Century Gothic"/>
          <w:sz w:val="24"/>
          <w:szCs w:val="24"/>
        </w:rPr>
        <w:t xml:space="preserve"> Desarrollar procesos </w:t>
      </w:r>
      <w:r>
        <w:rPr>
          <w:rFonts w:ascii="Century Gothic" w:hAnsi="Century Gothic" w:eastAsia="Century Gothic" w:cs="Century Gothic"/>
          <w:sz w:val="24"/>
          <w:szCs w:val="24"/>
        </w:rPr>
        <w:t xml:space="preserve">educativos que faciliten a las personas elegir y adoptar prácticas favorables </w:t>
      </w:r>
      <w:r>
        <w:rPr>
          <w:rFonts w:ascii="Century Gothic" w:hAnsi="Century Gothic" w:eastAsia="Century Gothic" w:cs="Century Gothic"/>
          <w:sz w:val="24"/>
          <w:szCs w:val="24"/>
        </w:rPr>
        <w:t xml:space="preserve">a la salud, prácticas de cuidado, compañía y desarrollo de vínculos </w:t>
      </w:r>
      <w:r>
        <w:rPr>
          <w:rFonts w:ascii="Century Gothic" w:hAnsi="Century Gothic" w:eastAsia="Century Gothic" w:cs="Century Gothic"/>
          <w:sz w:val="24"/>
          <w:szCs w:val="24"/>
        </w:rPr>
        <w:t xml:space="preserve">afectivos y sociales positivos para el desarrollo humano.</w:t>
      </w:r>
      <w:r>
        <w:rPr>
          <w:rFonts w:ascii="Century Gothic" w:hAnsi="Century Gothic" w:eastAsia="Century Gothic" w:cs="Century Gothic"/>
          <w:sz w:val="24"/>
          <w:szCs w:val="24"/>
          <w:b w:val="1"/>
          <w:bCs w:val="1"/>
        </w:rPr>
        <w:t xml:space="preserve"> 7. </w:t>
      </w:r>
      <w:r>
        <w:rPr>
          <w:rFonts w:ascii="Century Gothic" w:hAnsi="Century Gothic" w:eastAsia="Century Gothic" w:cs="Century Gothic"/>
          <w:sz w:val="24"/>
          <w:szCs w:val="24"/>
        </w:rPr>
        <w:t xml:space="preserve">Desarrollar </w:t>
      </w:r>
      <w:r>
        <w:rPr>
          <w:rFonts w:ascii="Century Gothic" w:hAnsi="Century Gothic" w:eastAsia="Century Gothic" w:cs="Century Gothic"/>
          <w:sz w:val="24"/>
          <w:szCs w:val="24"/>
        </w:rPr>
        <w:t xml:space="preserve">espacios de participación social y popular por cada vereda- barrio donde </w:t>
      </w:r>
      <w:r>
        <w:rPr>
          <w:rFonts w:ascii="Century Gothic" w:hAnsi="Century Gothic" w:eastAsia="Century Gothic" w:cs="Century Gothic"/>
          <w:sz w:val="24"/>
          <w:szCs w:val="24"/>
        </w:rPr>
        <w:t xml:space="preserve">operen los equipos básicos de salud.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Caracterización familiar y del </w:t>
      </w:r>
      <w:r>
        <w:rPr>
          <w:rFonts w:ascii="Century Gothic" w:hAnsi="Century Gothic" w:eastAsia="Century Gothic" w:cs="Century Gothic"/>
          <w:sz w:val="24"/>
          <w:szCs w:val="24"/>
        </w:rPr>
        <w:t xml:space="preserve">entorno, de acuerdo con el formulario para caracterización - EBS del </w:t>
      </w:r>
      <w:r>
        <w:rPr>
          <w:rFonts w:ascii="Century Gothic" w:hAnsi="Century Gothic" w:eastAsia="Century Gothic" w:cs="Century Gothic"/>
          <w:sz w:val="24"/>
          <w:szCs w:val="24"/>
        </w:rPr>
        <w:t xml:space="preserve">Ministerio de Salud y Protección Social. </w:t>
      </w:r>
      <w:r>
        <w:rPr>
          <w:rFonts w:ascii="Century Gothic" w:hAnsi="Century Gothic" w:eastAsia="Century Gothic" w:cs="Century Gothic"/>
          <w:sz w:val="24"/>
          <w:szCs w:val="24"/>
          <w:b w:val="1"/>
          <w:bCs w:val="1"/>
        </w:rPr>
        <w:t xml:space="preserve">9. </w:t>
      </w:r>
      <w:r>
        <w:rPr>
          <w:rFonts w:ascii="Century Gothic" w:hAnsi="Century Gothic" w:eastAsia="Century Gothic" w:cs="Century Gothic"/>
          <w:sz w:val="24"/>
          <w:szCs w:val="24"/>
        </w:rPr>
        <w:t xml:space="preserve">Realizar tomas de muestra de </w:t>
      </w:r>
      <w:r>
        <w:rPr>
          <w:rFonts w:ascii="Century Gothic" w:hAnsi="Century Gothic" w:eastAsia="Century Gothic" w:cs="Century Gothic"/>
          <w:sz w:val="24"/>
          <w:szCs w:val="24"/>
        </w:rPr>
        <w:t xml:space="preserve">laboratorio. 10. Apoyar la organización del plan de trabajo del EBS.</w:t>
      </w:r>
      <w:r>
        <w:rPr>
          <w:rFonts w:ascii="Century Gothic" w:hAnsi="Century Gothic" w:eastAsia="Century Gothic" w:cs="Century Gothic"/>
          <w:sz w:val="24"/>
          <w:szCs w:val="24"/>
          <w:b w:val="1"/>
          <w:bCs w:val="1"/>
        </w:rPr>
        <w:t xml:space="preserve"> 11.</w:t>
      </w:r>
      <w:r>
        <w:rPr>
          <w:rFonts w:ascii="Century Gothic" w:hAnsi="Century Gothic" w:eastAsia="Century Gothic" w:cs="Century Gothic"/>
          <w:sz w:val="24"/>
          <w:szCs w:val="24"/>
        </w:rPr>
        <w:t xml:space="preserve">Portar </w:t>
      </w:r>
      <w:r>
        <w:rPr>
          <w:rFonts w:ascii="Century Gothic" w:hAnsi="Century Gothic" w:eastAsia="Century Gothic" w:cs="Century Gothic"/>
          <w:sz w:val="24"/>
          <w:szCs w:val="24"/>
        </w:rPr>
        <w:t xml:space="preserve">los elementos y distintivos del equipo básico de salud. </w:t>
      </w:r>
      <w:r>
        <w:rPr>
          <w:rFonts w:ascii="Century Gothic" w:hAnsi="Century Gothic" w:eastAsia="Century Gothic" w:cs="Century Gothic"/>
          <w:sz w:val="24"/>
          <w:szCs w:val="24"/>
          <w:b w:val="1"/>
          <w:bCs w:val="1"/>
        </w:rPr>
        <w:t xml:space="preserve">12.</w:t>
      </w:r>
      <w:r>
        <w:rPr>
          <w:rFonts w:ascii="Century Gothic" w:hAnsi="Century Gothic" w:eastAsia="Century Gothic" w:cs="Century Gothic"/>
          <w:sz w:val="24"/>
          <w:szCs w:val="24"/>
        </w:rPr>
        <w:t xml:space="preserve"> En general las que se desprendan de la naturaleza del contrato y de su objeto.</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299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CLAUDIA PATRICIA PALACIO PALACIO</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1.001.712.189</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