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CD-831-2026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CAROLINA   MARTINEZ  CÁRDENAS</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1.061.047.586</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TRABAJADOR (A) SOCIAL PARA LA ATENCIÓN Y FORTALECIMIENTO DEL NIVEL PRIMARIO EN EL MUNICIPIO, DEPARATAMENTO DEL CHOCÓ EN EL MARCO DE LA RESOLUCIÓN 1498 DEL 21 JULIO DE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 – JOVENES EN PAZ -”.</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QUINIENTOS MIL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3.500.000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CAROLINA   MARTINEZ  CÁRDENAS</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1.061.047.586</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TRABAJADOR SOCIAL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TRABAJADOR (A) SOCIAL PARA LA ATENCIÓN Y FORTALECIMIENTO DEL NIVEL PRIMARIO EN EL MUNICIPIO, DEPARATAMENTO DEL CHOCÓ EN EL MARCO DE LA RESOLUCIÓN 1498 DEL 21 JULIO DE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 – JOVENES EN PAZ -”.</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QUINIENTOS MIL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3.500.000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QUINIENTOS MIL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3.500.000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b w:val="1"/>
          <w:bCs w:val="1"/>
        </w:rPr>
        <w:t xml:space="preserve">.</w:t>
      </w:r>
      <w:r>
        <w:rPr>
          <w:rFonts w:ascii="Century Gothic" w:hAnsi="Century Gothic" w:eastAsia="Century Gothic" w:cs="Century Gothic"/>
          <w:sz w:val="24"/>
          <w:szCs w:val="24"/>
        </w:rPr>
        <w:t xml:space="preserve"> Realizar valoración psicosocial individual yfamiliar a los jóvenes vinculados al componente “Jóvenes en Paz”, identificandofactores de riesgo, protección, redes de apoyo y determinantes sociales. </w:t>
      </w:r>
      <w:r>
        <w:rPr>
          <w:rFonts w:ascii="Century Gothic" w:hAnsi="Century Gothic" w:eastAsia="Century Gothic" w:cs="Century Gothic"/>
          <w:sz w:val="24"/>
          <w:szCs w:val="24"/>
          <w:b w:val="1"/>
          <w:bCs w:val="1"/>
        </w:rPr>
        <w:t xml:space="preserve">2. </w:t>
      </w:r>
      <w:r>
        <w:rPr>
          <w:rFonts w:ascii="Century Gothic" w:hAnsi="Century Gothic" w:eastAsia="Century Gothic" w:cs="Century Gothic"/>
          <w:sz w:val="24"/>
          <w:szCs w:val="24"/>
        </w:rPr>
        <w:t xml:space="preserve">Diseñar e implementar planes deintervención psicosocial comunitarios, orientados al fortalecimiento delproyecto de vida, la salud mental, la resolución de conflictos y la inclusiónsocial. </w:t>
      </w:r>
      <w:r>
        <w:rPr>
          <w:rFonts w:ascii="Century Gothic" w:hAnsi="Century Gothic" w:eastAsia="Century Gothic" w:cs="Century Gothic"/>
          <w:sz w:val="24"/>
          <w:szCs w:val="24"/>
          <w:b w:val="1"/>
          <w:bCs w:val="1"/>
        </w:rPr>
        <w:t xml:space="preserve">3.</w:t>
      </w:r>
      <w:r>
        <w:rPr>
          <w:rFonts w:ascii="Century Gothic" w:hAnsi="Century Gothic" w:eastAsia="Century Gothic" w:cs="Century Gothic"/>
          <w:sz w:val="24"/>
          <w:szCs w:val="24"/>
        </w:rPr>
        <w:t xml:space="preserve"> Participar activamente enlas actividades extramurales del EBS, incluyendo visitas domiciliarias,encuentros comunitarios, talleres y actividades intersectoriales en elterritorio asignado.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Articularacciones con las entidades del Sistema General de Seguridad Social en Salud(SGSSS) y con los sectores de educación, justicia, cultura y empleo, parapromover la oferta institucional a favor de los jóvenes intervenidos.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Acompañar los procesos de activaciónde rutas de atención interinstitucionales, en casos de violencia, consumo desustancias psicoactivas, salud mental, barreras de acceso o vulneración dederechos.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Realizar seguimiento alos casos asignados, garantizando el cumplimiento del plan de intervención yactualizando los registros clínicos y sociales conforme a los lineamientos delModelo de Acción Unificada Territorial (MAUT).</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Elaborar informes técnicos, diagnósticos sociales y reportesmensuales de avance, conforme a los formatos establecidos por el operador oentidad contratante, incluyendo indicadores de gestión.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Participar en los espacios de planeación, análisis de situaciónen salud (ASIS), comités territoriales y capacitaciones, aportando desde elenfoque social a la gestión territorial en salud.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Garantizar el cumplimiento del enfoque diferencial, de género,interseccional y territorial en todas las intervenciones, reconociendo lasparticularidades culturales y sociales de la población objetivo.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Velar por la confidencialidad yética profesional en el manejo de la información personal y familiar de losjóvenes, conforme a la normatividad vigente en salud y protección de datos. </w:t>
      </w:r>
      <w:r>
        <w:rPr>
          <w:rFonts w:ascii="Century Gothic" w:hAnsi="Century Gothic" w:eastAsia="Century Gothic" w:cs="Century Gothic"/>
          <w:sz w:val="24"/>
          <w:szCs w:val="24"/>
          <w:b w:val="1"/>
          <w:bCs w:val="1"/>
        </w:rPr>
        <w:t xml:space="preserve">PARAGRAFO 1:</w:t>
      </w:r>
      <w:r>
        <w:rPr>
          <w:rFonts w:ascii="Century Gothic" w:hAnsi="Century Gothic" w:eastAsia="Century Gothic" w:cs="Century Gothic"/>
          <w:sz w:val="24"/>
          <w:szCs w:val="24"/>
          <w:b w:val="1"/>
          <w:bCs w:val="1"/>
        </w:rPr>
        <w:t xml:space="preserve"> </w:t>
      </w:r>
      <w:r>
        <w:rPr>
          <w:rFonts w:ascii="Century Gothic" w:hAnsi="Century Gothic" w:eastAsia="Century Gothic" w:cs="Century Gothic"/>
          <w:sz w:val="24"/>
          <w:szCs w:val="24"/>
        </w:rPr>
        <w:t xml:space="preserve">El </w:t>
      </w:r>
      <w:r>
        <w:rPr>
          <w:rFonts w:ascii="Century Gothic" w:hAnsi="Century Gothic" w:eastAsia="Century Gothic" w:cs="Century Gothic"/>
          <w:sz w:val="24"/>
          <w:szCs w:val="24"/>
          <w:b w:val="1"/>
          <w:bCs w:val="1"/>
        </w:rPr>
        <w:t xml:space="preserve">CONTRATISTA</w:t>
      </w:r>
      <w:r>
        <w:rPr>
          <w:rFonts w:ascii="Century Gothic" w:hAnsi="Century Gothic" w:eastAsia="Century Gothic" w:cs="Century Gothic"/>
          <w:sz w:val="24"/>
          <w:szCs w:val="24"/>
        </w:rPr>
        <w:t xml:space="preserve"> asignado a losEquipos Básicos de Salud se obliga a presentar mensualmente el Acta dePermanencia debidamente firmada por la Secretaría de Salud del Municipio alcual fue designado, por el Coordinador de Zona o Coordinador de los EquiposBásicos de Salud, y/o, en los casos en que el servicio se preste en territorioscon presencia de Consejos Comunitarios, por el Representante de la Junta delrespectivo Consejo Comunitario del municipio o su delegado, en la cual constela permanencia y prestación efectiva del servicio durante el periodo facturado.La mencionada acta se deberá radicar junto con su respectiva cuenta de cobro odocumento equivalente, dentro de los plazos establecidos para la presentaciónde cuentas. La E.S.E. no efectuará el pago de honorarios, contraprestaciones oreconocimiento económico alguno mientras no sea aportada el Acta de Permanenciadebidamente suscrita, constituyéndose dicho documento en requisito deexigibilidad y verificación contractual. El incumplimiento reiterado de estaobligación podrá ser considerado como causal de incumplimiento contractual, sinperjuicio de las demás acciones que la E.S.E. estime procedentes conforme a lanormatividad vigente. </w:t>
      </w:r>
      <w:r>
        <w:rPr>
          <w:rFonts w:ascii="Century Gothic" w:hAnsi="Century Gothic" w:eastAsia="Century Gothic" w:cs="Century Gothic"/>
          <w:sz w:val="24"/>
          <w:szCs w:val="24"/>
          <w:b w:val="1"/>
          <w:bCs w:val="1"/>
        </w:rPr>
        <w:t xml:space="preserve">PARAGRAFO 2:</w:t>
      </w:r>
      <w:r>
        <w:rPr>
          <w:rFonts w:ascii="Century Gothic" w:hAnsi="Century Gothic" w:eastAsia="Century Gothic" w:cs="Century Gothic"/>
          <w:sz w:val="24"/>
          <w:szCs w:val="24"/>
        </w:rPr>
        <w:t xml:space="preserve"> El </w:t>
      </w:r>
      <w:r>
        <w:rPr>
          <w:rFonts w:ascii="Century Gothic" w:hAnsi="Century Gothic" w:eastAsia="Century Gothic" w:cs="Century Gothic"/>
          <w:sz w:val="24"/>
          <w:szCs w:val="24"/>
          <w:b w:val="1"/>
          <w:bCs w:val="1"/>
        </w:rPr>
        <w:t xml:space="preserve">CONTRATISTA</w:t>
      </w:r>
      <w:r>
        <w:rPr>
          <w:rFonts w:ascii="Century Gothic" w:hAnsi="Century Gothic" w:eastAsia="Century Gothic" w:cs="Century Gothic"/>
          <w:sz w:val="24"/>
          <w:szCs w:val="24"/>
        </w:rPr>
        <w:t xml:space="preserve"> se obliga a restituir en buen estado deconservación todos los elementos, implementos, prendas o equipos que le seansuministrados por la E.S.E. para la correcta ejecución del contrato, tales comochalecos, gorras, mascarillas, carnés y elementos biomédicos. La devolución dedichos elementos deberá efectuarse al finalizar la ejecución del contrato ocuando la entidad lo requiera, dejando constancia mediante acta de entregasuscrita por el contratista y el supervisor. El cumplimiento de esta obligaciónconstituye requisito previo para la autorización y pago de los honorarioscorrespondientes al último mes de ejecución contractual. </w:t>
      </w:r>
      <w:r>
        <w:rPr>
          <w:rFonts w:ascii="Century Gothic" w:hAnsi="Century Gothic" w:eastAsia="Century Gothic" w:cs="Century Gothic"/>
          <w:sz w:val="24"/>
          <w:szCs w:val="24"/>
        </w:rPr>
        <w:t xml:space="preserve">En caso de pérdida o daño atribuible al </w:t>
      </w:r>
      <w:r>
        <w:rPr>
          <w:rFonts w:ascii="Century Gothic" w:hAnsi="Century Gothic" w:eastAsia="Century Gothic" w:cs="Century Gothic"/>
          <w:sz w:val="24"/>
          <w:szCs w:val="24"/>
          <w:b w:val="1"/>
          <w:bCs w:val="1"/>
        </w:rPr>
        <w:t xml:space="preserve">CONTRATISTA</w:t>
      </w:r>
      <w:r>
        <w:rPr>
          <w:rFonts w:ascii="Century Gothic" w:hAnsi="Century Gothic" w:eastAsia="Century Gothic" w:cs="Century Gothic"/>
          <w:sz w:val="24"/>
          <w:szCs w:val="24"/>
        </w:rPr>
        <w:t xml:space="preserve">, este deberá </w:t>
      </w:r>
      <w:r>
        <w:rPr>
          <w:rFonts w:ascii="Century Gothic" w:hAnsi="Century Gothic" w:eastAsia="Century Gothic" w:cs="Century Gothic"/>
          <w:sz w:val="24"/>
          <w:szCs w:val="24"/>
          <w:b w:val="1"/>
          <w:bCs w:val="1"/>
        </w:rPr>
        <w:t xml:space="preserve">asumir su reposición o reparación</w:t>
      </w:r>
      <w:r>
        <w:rPr>
          <w:rFonts w:ascii="Century Gothic" w:hAnsi="Century Gothic" w:eastAsia="Century Gothic" w:cs="Century Gothic"/>
          <w:sz w:val="24"/>
          <w:szCs w:val="24"/>
          <w:b w:val="1"/>
          <w:bCs w:val="1"/>
        </w:rPr>
        <w:t xml:space="preserve">.</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139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seis (6) días del mes de abril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CAROLINA   MARTINEZ  CÁRDENAS</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1.061.047.586</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PALACIOS</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