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HSFA-624-2026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ALBERTO   CHAMI  CABRERA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11.615.807</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COMO PARTERO TRADICIONAL PARA LA ATENCIÓN Y FORTALECIMIENTO DEL NIVEL PRIMARIO EN EL MUNICIPIO DE BOJAYÁ DEL DEPARTAMENTO DEL CHOCÓ, A CARGO DE LA NUEVA ESE HOSPITAL DEPARTAMENTAL SAN FRANCISCO DE ASÍS EN EL MARCO DE LA RESOLUCIÓN 1489 21 DE JULIO DEL 2025, “POR LA CUAL SE EFECTÚA UNA ASIGNACIÓN DE RECURSOS DEL PRESUPUESTO DE GASTOS DE FUNCIONAMIENTO DEL MINISTERIO DE SALUD Y PROTECCIÓN SOCIAL, DEL RUBRO "APOYO A PROGRAMAS DE DESARROLLO DE LA SALUD LEY 100 DE 1993'. EMPRESAS SOCIALES DEL ESTADO PARA EL FORTALECIMIENTO DEL NIVEL PRIMARIO.</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DOS MILLONES PESOS M/CTE  ($ 2.000.000)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ALBERTO   CHAMI  CABRERA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11.615.807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ALBERTO   CHAMI  CABRERA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